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8E9" w:rsidRDefault="00C02AD0" w:rsidP="00081FD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</w:t>
      </w:r>
      <w:r w:rsidRPr="00081FD9">
        <w:rPr>
          <w:rFonts w:ascii="Times New Roman" w:hAnsi="Times New Roman" w:cs="Times New Roman"/>
          <w:b/>
          <w:sz w:val="28"/>
          <w:szCs w:val="28"/>
        </w:rPr>
        <w:t>«Орфография как раздел лингвистики»</w:t>
      </w:r>
    </w:p>
    <w:p w:rsidR="00C02AD0" w:rsidRPr="00081FD9" w:rsidRDefault="00C02AD0" w:rsidP="00C02A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65F91" w:themeColor="accent1" w:themeShade="BF"/>
          <w:sz w:val="28"/>
          <w:szCs w:val="28"/>
        </w:rPr>
      </w:pPr>
      <w:r w:rsidRPr="00081FD9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>Орфография</w:t>
      </w:r>
      <w:r w:rsidRPr="00081FD9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 – совокупность правил, устанавливающих единообразие способов передачи речи на письме.</w:t>
      </w:r>
    </w:p>
    <w:p w:rsidR="00C02AD0" w:rsidRPr="00081FD9" w:rsidRDefault="00C02AD0" w:rsidP="00C02A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65F91" w:themeColor="accent1" w:themeShade="B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раздел орфографии характеризуется определёнными принципами. </w:t>
      </w:r>
      <w:r w:rsidRPr="00081FD9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Принципы орфографии – это языковые закономерности, лежащие в основе одного или нескольких правил.</w:t>
      </w:r>
    </w:p>
    <w:p w:rsidR="00C02AD0" w:rsidRPr="00081FD9" w:rsidRDefault="00C02AD0" w:rsidP="00C02AD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65F91" w:themeColor="accent1" w:themeShade="BF"/>
          <w:sz w:val="28"/>
          <w:szCs w:val="28"/>
        </w:rPr>
      </w:pPr>
      <w:r w:rsidRPr="00081FD9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>Фонематический принцип</w:t>
      </w:r>
      <w:r w:rsidRPr="00081FD9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 обеспечивает одинаковое написание букв, обозначающих звуки, стоящие как в сильной, так и в слабой позиции. К фонемным правилам относятся те, которые регулируют </w:t>
      </w:r>
      <w:r w:rsidR="00CD2C14" w:rsidRPr="00081FD9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правописание приставок, безударных гласных в корне, согласных на конце и в середине слова, разделительных Ъ и Ь, твёрдых согласных пере И.</w:t>
      </w:r>
    </w:p>
    <w:p w:rsidR="00CD2C14" w:rsidRPr="00081FD9" w:rsidRDefault="00CD2C14" w:rsidP="00C02AD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365F91" w:themeColor="accent1" w:themeShade="BF"/>
          <w:sz w:val="28"/>
          <w:szCs w:val="28"/>
        </w:rPr>
      </w:pPr>
      <w:proofErr w:type="gramStart"/>
      <w:r w:rsidRPr="00081FD9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>Морфологический</w:t>
      </w:r>
      <w:r w:rsidRPr="00081FD9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 принцип заключается в одинаковом написании морфем независимо от их п</w:t>
      </w:r>
      <w:r w:rsidR="00081FD9" w:rsidRPr="00081FD9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роизношения </w:t>
      </w:r>
      <w:r w:rsidR="00081FD9" w:rsidRPr="00081FD9">
        <w:rPr>
          <w:rFonts w:ascii="Times New Roman" w:hAnsi="Times New Roman" w:cs="Times New Roman"/>
          <w:i/>
          <w:color w:val="365F91" w:themeColor="accent1" w:themeShade="BF"/>
          <w:sz w:val="28"/>
          <w:szCs w:val="28"/>
        </w:rPr>
        <w:t xml:space="preserve">(к </w:t>
      </w:r>
      <w:r w:rsidR="00081FD9" w:rsidRPr="00081FD9">
        <w:rPr>
          <w:rFonts w:ascii="Times New Roman" w:hAnsi="Times New Roman" w:cs="Times New Roman"/>
          <w:b/>
          <w:i/>
          <w:color w:val="365F91" w:themeColor="accent1" w:themeShade="BF"/>
          <w:sz w:val="28"/>
          <w:szCs w:val="28"/>
        </w:rPr>
        <w:t>и</w:t>
      </w:r>
      <w:r w:rsidR="00081FD9" w:rsidRPr="00081FD9">
        <w:rPr>
          <w:rFonts w:ascii="Times New Roman" w:hAnsi="Times New Roman" w:cs="Times New Roman"/>
          <w:i/>
          <w:color w:val="365F91" w:themeColor="accent1" w:themeShade="BF"/>
          <w:sz w:val="28"/>
          <w:szCs w:val="28"/>
        </w:rPr>
        <w:t>збушке (слышится /ы/), не поро</w:t>
      </w:r>
      <w:r w:rsidR="00081FD9" w:rsidRPr="00081FD9">
        <w:rPr>
          <w:rFonts w:ascii="Times New Roman" w:hAnsi="Times New Roman" w:cs="Times New Roman"/>
          <w:b/>
          <w:i/>
          <w:color w:val="365F91" w:themeColor="accent1" w:themeShade="BF"/>
          <w:sz w:val="28"/>
          <w:szCs w:val="28"/>
        </w:rPr>
        <w:t>ж</w:t>
      </w:r>
      <w:r w:rsidR="00081FD9" w:rsidRPr="00081FD9">
        <w:rPr>
          <w:rFonts w:ascii="Times New Roman" w:hAnsi="Times New Roman" w:cs="Times New Roman"/>
          <w:i/>
          <w:color w:val="365F91" w:themeColor="accent1" w:themeShade="BF"/>
          <w:sz w:val="28"/>
          <w:szCs w:val="28"/>
        </w:rPr>
        <w:t>ке (оглушается).</w:t>
      </w:r>
      <w:proofErr w:type="gramEnd"/>
    </w:p>
    <w:p w:rsidR="00CD2C14" w:rsidRPr="00081FD9" w:rsidRDefault="00CD2C14" w:rsidP="00C02AD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365F91" w:themeColor="accent1" w:themeShade="BF"/>
          <w:sz w:val="28"/>
          <w:szCs w:val="28"/>
        </w:rPr>
      </w:pPr>
      <w:r w:rsidRPr="00081FD9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>Традиционный</w:t>
      </w:r>
      <w:r w:rsidRPr="00081FD9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 принцип заключается в закреплённом традицией написании слов: традиционные написания надо запомнить (</w:t>
      </w:r>
      <w:r w:rsidRPr="00081FD9">
        <w:rPr>
          <w:rFonts w:ascii="Times New Roman" w:hAnsi="Times New Roman" w:cs="Times New Roman"/>
          <w:i/>
          <w:color w:val="365F91" w:themeColor="accent1" w:themeShade="BF"/>
          <w:sz w:val="28"/>
          <w:szCs w:val="28"/>
        </w:rPr>
        <w:t>с</w:t>
      </w:r>
      <w:r w:rsidRPr="00081FD9">
        <w:rPr>
          <w:rFonts w:ascii="Times New Roman" w:hAnsi="Times New Roman" w:cs="Times New Roman"/>
          <w:b/>
          <w:i/>
          <w:color w:val="365F91" w:themeColor="accent1" w:themeShade="BF"/>
          <w:sz w:val="28"/>
          <w:szCs w:val="28"/>
        </w:rPr>
        <w:t>о</w:t>
      </w:r>
      <w:r w:rsidRPr="00081FD9">
        <w:rPr>
          <w:rFonts w:ascii="Times New Roman" w:hAnsi="Times New Roman" w:cs="Times New Roman"/>
          <w:i/>
          <w:color w:val="365F91" w:themeColor="accent1" w:themeShade="BF"/>
          <w:sz w:val="28"/>
          <w:szCs w:val="28"/>
        </w:rPr>
        <w:t xml:space="preserve">бака, </w:t>
      </w:r>
      <w:r w:rsidRPr="00081FD9">
        <w:rPr>
          <w:rFonts w:ascii="Times New Roman" w:hAnsi="Times New Roman" w:cs="Times New Roman"/>
          <w:b/>
          <w:i/>
          <w:color w:val="365F91" w:themeColor="accent1" w:themeShade="BF"/>
          <w:sz w:val="28"/>
          <w:szCs w:val="28"/>
        </w:rPr>
        <w:t>а</w:t>
      </w:r>
      <w:r w:rsidRPr="00081FD9">
        <w:rPr>
          <w:rFonts w:ascii="Times New Roman" w:hAnsi="Times New Roman" w:cs="Times New Roman"/>
          <w:i/>
          <w:color w:val="365F91" w:themeColor="accent1" w:themeShade="BF"/>
          <w:sz w:val="28"/>
          <w:szCs w:val="28"/>
        </w:rPr>
        <w:t>р</w:t>
      </w:r>
      <w:r w:rsidRPr="00081FD9">
        <w:rPr>
          <w:rFonts w:ascii="Times New Roman" w:hAnsi="Times New Roman" w:cs="Times New Roman"/>
          <w:b/>
          <w:i/>
          <w:color w:val="365F91" w:themeColor="accent1" w:themeShade="BF"/>
          <w:sz w:val="28"/>
          <w:szCs w:val="28"/>
        </w:rPr>
        <w:t>о</w:t>
      </w:r>
      <w:r w:rsidRPr="00081FD9">
        <w:rPr>
          <w:rFonts w:ascii="Times New Roman" w:hAnsi="Times New Roman" w:cs="Times New Roman"/>
          <w:i/>
          <w:color w:val="365F91" w:themeColor="accent1" w:themeShade="BF"/>
          <w:sz w:val="28"/>
          <w:szCs w:val="28"/>
        </w:rPr>
        <w:t>мат, к</w:t>
      </w:r>
      <w:r w:rsidRPr="00081FD9">
        <w:rPr>
          <w:rFonts w:ascii="Times New Roman" w:hAnsi="Times New Roman" w:cs="Times New Roman"/>
          <w:b/>
          <w:i/>
          <w:color w:val="365F91" w:themeColor="accent1" w:themeShade="BF"/>
          <w:sz w:val="28"/>
          <w:szCs w:val="28"/>
        </w:rPr>
        <w:t>а</w:t>
      </w:r>
      <w:r w:rsidRPr="00081FD9">
        <w:rPr>
          <w:rFonts w:ascii="Times New Roman" w:hAnsi="Times New Roman" w:cs="Times New Roman"/>
          <w:i/>
          <w:color w:val="365F91" w:themeColor="accent1" w:themeShade="BF"/>
          <w:sz w:val="28"/>
          <w:szCs w:val="28"/>
        </w:rPr>
        <w:t>ла</w:t>
      </w:r>
      <w:r w:rsidRPr="00081FD9">
        <w:rPr>
          <w:rFonts w:ascii="Times New Roman" w:hAnsi="Times New Roman" w:cs="Times New Roman"/>
          <w:b/>
          <w:i/>
          <w:color w:val="365F91" w:themeColor="accent1" w:themeShade="BF"/>
          <w:sz w:val="28"/>
          <w:szCs w:val="28"/>
        </w:rPr>
        <w:t>ч</w:t>
      </w:r>
      <w:r w:rsidRPr="00081FD9">
        <w:rPr>
          <w:rFonts w:ascii="Times New Roman" w:hAnsi="Times New Roman" w:cs="Times New Roman"/>
          <w:i/>
          <w:color w:val="365F91" w:themeColor="accent1" w:themeShade="BF"/>
          <w:sz w:val="28"/>
          <w:szCs w:val="28"/>
        </w:rPr>
        <w:t>, п</w:t>
      </w:r>
      <w:r w:rsidRPr="00081FD9">
        <w:rPr>
          <w:rFonts w:ascii="Times New Roman" w:hAnsi="Times New Roman" w:cs="Times New Roman"/>
          <w:b/>
          <w:i/>
          <w:color w:val="365F91" w:themeColor="accent1" w:themeShade="BF"/>
          <w:sz w:val="28"/>
          <w:szCs w:val="28"/>
        </w:rPr>
        <w:t>а</w:t>
      </w:r>
      <w:r w:rsidRPr="00081FD9">
        <w:rPr>
          <w:rFonts w:ascii="Times New Roman" w:hAnsi="Times New Roman" w:cs="Times New Roman"/>
          <w:i/>
          <w:color w:val="365F91" w:themeColor="accent1" w:themeShade="BF"/>
          <w:sz w:val="28"/>
          <w:szCs w:val="28"/>
        </w:rPr>
        <w:t>р</w:t>
      </w:r>
      <w:r w:rsidRPr="00081FD9">
        <w:rPr>
          <w:rFonts w:ascii="Times New Roman" w:hAnsi="Times New Roman" w:cs="Times New Roman"/>
          <w:b/>
          <w:i/>
          <w:color w:val="365F91" w:themeColor="accent1" w:themeShade="BF"/>
          <w:sz w:val="28"/>
          <w:szCs w:val="28"/>
        </w:rPr>
        <w:t>а</w:t>
      </w:r>
      <w:r w:rsidRPr="00081FD9">
        <w:rPr>
          <w:rFonts w:ascii="Times New Roman" w:hAnsi="Times New Roman" w:cs="Times New Roman"/>
          <w:i/>
          <w:color w:val="365F91" w:themeColor="accent1" w:themeShade="BF"/>
          <w:sz w:val="28"/>
          <w:szCs w:val="28"/>
        </w:rPr>
        <w:t>ш</w:t>
      </w:r>
      <w:r w:rsidRPr="00081FD9">
        <w:rPr>
          <w:rFonts w:ascii="Times New Roman" w:hAnsi="Times New Roman" w:cs="Times New Roman"/>
          <w:b/>
          <w:i/>
          <w:color w:val="365F91" w:themeColor="accent1" w:themeShade="BF"/>
          <w:sz w:val="28"/>
          <w:szCs w:val="28"/>
        </w:rPr>
        <w:t>ю</w:t>
      </w:r>
      <w:r w:rsidRPr="00081FD9">
        <w:rPr>
          <w:rFonts w:ascii="Times New Roman" w:hAnsi="Times New Roman" w:cs="Times New Roman"/>
          <w:i/>
          <w:color w:val="365F91" w:themeColor="accent1" w:themeShade="BF"/>
          <w:sz w:val="28"/>
          <w:szCs w:val="28"/>
        </w:rPr>
        <w:t>т).</w:t>
      </w:r>
    </w:p>
    <w:p w:rsidR="00CD2C14" w:rsidRDefault="00CD2C14" w:rsidP="00C02AD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365F91" w:themeColor="accent1" w:themeShade="BF"/>
          <w:sz w:val="28"/>
          <w:szCs w:val="28"/>
        </w:rPr>
      </w:pPr>
      <w:r w:rsidRPr="00081FD9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>Дифференцирующий</w:t>
      </w:r>
      <w:r w:rsidRPr="00081FD9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 принцип написания разграничивает на письме слова, </w:t>
      </w:r>
      <w:r w:rsidR="00081FD9" w:rsidRPr="00081FD9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звучащие и нап</w:t>
      </w:r>
      <w:r w:rsidRPr="00081FD9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исанные одинаково, но имеющие разные значен</w:t>
      </w:r>
      <w:r w:rsidR="00081FD9" w:rsidRPr="00081FD9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и</w:t>
      </w:r>
      <w:r w:rsidRPr="00081FD9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 xml:space="preserve">я: </w:t>
      </w:r>
      <w:r w:rsidRPr="00081FD9">
        <w:rPr>
          <w:rFonts w:ascii="Times New Roman" w:hAnsi="Times New Roman" w:cs="Times New Roman"/>
          <w:i/>
          <w:color w:val="365F91" w:themeColor="accent1" w:themeShade="BF"/>
          <w:sz w:val="28"/>
          <w:szCs w:val="28"/>
        </w:rPr>
        <w:t>туш – тушь, поджог – поджёг, Орёл – орёл.</w:t>
      </w:r>
    </w:p>
    <w:p w:rsidR="00081FD9" w:rsidRDefault="00081FD9" w:rsidP="00081F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365F91" w:themeColor="accent1" w:themeShade="BF"/>
          <w:sz w:val="28"/>
          <w:szCs w:val="28"/>
        </w:rPr>
      </w:pPr>
    </w:p>
    <w:p w:rsidR="00081FD9" w:rsidRDefault="00081FD9" w:rsidP="00081F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365F91" w:themeColor="accent1" w:themeShade="BF"/>
          <w:sz w:val="28"/>
          <w:szCs w:val="28"/>
        </w:rPr>
      </w:pPr>
    </w:p>
    <w:p w:rsidR="00081FD9" w:rsidRPr="00081FD9" w:rsidRDefault="00081FD9" w:rsidP="00081F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1FD9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Pr="00081FD9">
        <w:rPr>
          <w:rFonts w:ascii="Times New Roman" w:hAnsi="Times New Roman" w:cs="Times New Roman"/>
          <w:sz w:val="28"/>
          <w:szCs w:val="28"/>
        </w:rPr>
        <w:t xml:space="preserve">: переписать в тетрадь текст, выделенный синим </w:t>
      </w:r>
      <w:proofErr w:type="gramStart"/>
      <w:r w:rsidRPr="00081FD9">
        <w:rPr>
          <w:rFonts w:ascii="Times New Roman" w:hAnsi="Times New Roman" w:cs="Times New Roman"/>
          <w:sz w:val="28"/>
          <w:szCs w:val="28"/>
        </w:rPr>
        <w:t>цветом</w:t>
      </w:r>
      <w:proofErr w:type="gramEnd"/>
      <w:r w:rsidRPr="00081FD9">
        <w:rPr>
          <w:rFonts w:ascii="Times New Roman" w:hAnsi="Times New Roman" w:cs="Times New Roman"/>
          <w:sz w:val="28"/>
          <w:szCs w:val="28"/>
        </w:rPr>
        <w:t xml:space="preserve"> и выучит его.</w:t>
      </w:r>
      <w:bookmarkStart w:id="0" w:name="_GoBack"/>
      <w:bookmarkEnd w:id="0"/>
    </w:p>
    <w:sectPr w:rsidR="00081FD9" w:rsidRPr="00081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F36"/>
    <w:rsid w:val="000378E9"/>
    <w:rsid w:val="00081FD9"/>
    <w:rsid w:val="00181F36"/>
    <w:rsid w:val="00C02AD0"/>
    <w:rsid w:val="00CD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2024-09-26T13:50:00Z</dcterms:created>
  <dcterms:modified xsi:type="dcterms:W3CDTF">2024-09-26T14:15:00Z</dcterms:modified>
</cp:coreProperties>
</file>