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86D" w:rsidRPr="00BA5896" w:rsidRDefault="00BA5896" w:rsidP="00BA5896">
      <w:pPr>
        <w:jc w:val="center"/>
        <w:rPr>
          <w:b/>
        </w:rPr>
      </w:pPr>
      <w:r w:rsidRPr="00BA5896">
        <w:rPr>
          <w:b/>
        </w:rPr>
        <w:t>Группа 12 КС</w:t>
      </w:r>
    </w:p>
    <w:p w:rsidR="00BA5896" w:rsidRPr="00BA5896" w:rsidRDefault="00BA5896" w:rsidP="00BA5896">
      <w:pPr>
        <w:jc w:val="center"/>
        <w:rPr>
          <w:b/>
        </w:rPr>
      </w:pPr>
      <w:r w:rsidRPr="00BA5896">
        <w:rPr>
          <w:b/>
        </w:rPr>
        <w:t>Урок 7-8</w:t>
      </w:r>
    </w:p>
    <w:p w:rsidR="00BA5896" w:rsidRDefault="00BA5896" w:rsidP="00BA5896">
      <w:pPr>
        <w:jc w:val="center"/>
      </w:pPr>
      <w:r w:rsidRPr="00BA5896">
        <w:rPr>
          <w:b/>
        </w:rPr>
        <w:t>Тема.</w:t>
      </w:r>
      <w:r>
        <w:t xml:space="preserve"> </w:t>
      </w:r>
      <w:r w:rsidRPr="00EA21D5">
        <w:t>Требования безопасности при обращении с оружием и боеприпасами (огневая подготовка)</w:t>
      </w:r>
      <w:r>
        <w:t>.</w:t>
      </w:r>
      <w:r w:rsidRPr="00BA5896">
        <w:t xml:space="preserve"> </w:t>
      </w:r>
      <w:r w:rsidRPr="00EA21D5">
        <w:t>Виды, назначение и тактико-технические характеристики современного стрелкового оружия (огневая подготовка)</w:t>
      </w:r>
      <w:r>
        <w:t>.</w:t>
      </w:r>
    </w:p>
    <w:p w:rsidR="00BA5896" w:rsidRDefault="00BA5896" w:rsidP="00BA5896"/>
    <w:p w:rsidR="00BA5896" w:rsidRPr="00BA5896" w:rsidRDefault="00BA5896" w:rsidP="00BA5896">
      <w:pPr>
        <w:pStyle w:val="s3"/>
        <w:shd w:val="clear" w:color="auto" w:fill="FFFFFF"/>
        <w:spacing w:before="0" w:beforeAutospacing="0" w:after="300" w:afterAutospacing="0"/>
        <w:jc w:val="center"/>
        <w:rPr>
          <w:b/>
          <w:bCs/>
          <w:color w:val="22272F"/>
          <w:sz w:val="30"/>
          <w:szCs w:val="30"/>
        </w:rPr>
      </w:pPr>
      <w:r>
        <w:rPr>
          <w:b/>
          <w:bCs/>
          <w:color w:val="22272F"/>
          <w:sz w:val="30"/>
          <w:szCs w:val="30"/>
        </w:rPr>
        <w:t>Меры безопасности при обращении с оружием и патронами при проведении стрельб</w:t>
      </w:r>
    </w:p>
    <w:p w:rsidR="00BA5896" w:rsidRPr="00BA5896" w:rsidRDefault="00BA5896" w:rsidP="00BA5896">
      <w:pPr>
        <w:pStyle w:val="s3"/>
        <w:shd w:val="clear" w:color="auto" w:fill="FFFFFF"/>
        <w:spacing w:before="0" w:beforeAutospacing="0" w:after="300" w:afterAutospacing="0"/>
        <w:jc w:val="center"/>
        <w:rPr>
          <w:b/>
          <w:bCs/>
          <w:color w:val="22272F"/>
          <w:sz w:val="30"/>
          <w:szCs w:val="30"/>
        </w:rPr>
      </w:pPr>
      <w:r>
        <w:rPr>
          <w:b/>
          <w:bCs/>
          <w:color w:val="22272F"/>
          <w:sz w:val="30"/>
          <w:szCs w:val="30"/>
        </w:rPr>
        <w:t>I. Общие положения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 xml:space="preserve">1. Безопасность при проведении стрельб обеспечивается благодаря четкому и грамотному руководству, исправности оружия и патронов, мишенного оборудования, </w:t>
      </w:r>
      <w:proofErr w:type="spellStart"/>
      <w:r>
        <w:rPr>
          <w:color w:val="464C55"/>
        </w:rPr>
        <w:t>обученности</w:t>
      </w:r>
      <w:proofErr w:type="spellEnd"/>
      <w:r>
        <w:rPr>
          <w:color w:val="464C55"/>
        </w:rPr>
        <w:t xml:space="preserve"> участников стрельб.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2. Всем сотрудникам необходимо знать и беспрекословно соблюдать установленные меры безопасности при проведении стрельб, обращении с боевым ручным стрелковым оружием и патронами к нему.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3. В случае нарушения сотрудником безопасности при проведении стрельб ведение огня всеми сотрудниками немедленно прекращается, а сотрудник, допустивший нарушение, по решению руководителя стрельбы (руководителя стрельбы на участке) отстраняется от практического выполнения упражнений стрельб с последующим докладом об этом руководителю территориального органа принудительного исполнения.</w:t>
      </w:r>
    </w:p>
    <w:p w:rsidR="00BA5896" w:rsidRDefault="00BA5896" w:rsidP="00BA5896">
      <w:pPr>
        <w:pStyle w:val="a3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BA5896" w:rsidRDefault="00BA5896" w:rsidP="00BA5896">
      <w:pPr>
        <w:pStyle w:val="s3"/>
        <w:shd w:val="clear" w:color="auto" w:fill="FFFFFF"/>
        <w:spacing w:before="0" w:beforeAutospacing="0" w:after="300" w:afterAutospacing="0"/>
        <w:jc w:val="center"/>
        <w:rPr>
          <w:b/>
          <w:bCs/>
          <w:color w:val="22272F"/>
          <w:sz w:val="30"/>
          <w:szCs w:val="30"/>
        </w:rPr>
      </w:pPr>
      <w:r>
        <w:rPr>
          <w:b/>
          <w:bCs/>
          <w:color w:val="22272F"/>
          <w:sz w:val="30"/>
          <w:szCs w:val="30"/>
        </w:rPr>
        <w:t>II. Меры безопасности при обращении с боевым ручным стрелковым оружием</w:t>
      </w:r>
    </w:p>
    <w:p w:rsidR="00BA5896" w:rsidRDefault="00BA5896" w:rsidP="00BA5896">
      <w:pPr>
        <w:pStyle w:val="a3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4. Получив оружие, проверить отсутствие патрона в патроннике.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5. Перед стрельбой убедиться в исправности оружия.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6. При осмотре, заряжании направлять оружие дульной частью в сторону мишенного поля или вверх под углом 45-60 градусов в безопасном направлении.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7. Разрядив оружие, поставить его на предохранитель.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8. Не направлять оружие в сторону людей, в тыл стрельбища независимо от того, заряжено оно или нет.</w:t>
      </w:r>
    </w:p>
    <w:p w:rsidR="00BA5896" w:rsidRDefault="00BA5896" w:rsidP="00BA5896">
      <w:pPr>
        <w:pStyle w:val="a3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BA5896" w:rsidRDefault="00BA5896" w:rsidP="00BA5896">
      <w:pPr>
        <w:pStyle w:val="s3"/>
        <w:shd w:val="clear" w:color="auto" w:fill="FFFFFF"/>
        <w:spacing w:before="0" w:beforeAutospacing="0" w:after="300" w:afterAutospacing="0"/>
        <w:jc w:val="center"/>
        <w:rPr>
          <w:b/>
          <w:bCs/>
          <w:color w:val="22272F"/>
          <w:sz w:val="30"/>
          <w:szCs w:val="30"/>
        </w:rPr>
      </w:pPr>
      <w:r>
        <w:rPr>
          <w:b/>
          <w:bCs/>
          <w:color w:val="22272F"/>
          <w:sz w:val="30"/>
          <w:szCs w:val="30"/>
        </w:rPr>
        <w:t>III. Меры безопасности при обращении с патронами</w:t>
      </w:r>
    </w:p>
    <w:p w:rsidR="00BA5896" w:rsidRDefault="00BA5896" w:rsidP="00BA5896">
      <w:pPr>
        <w:pStyle w:val="a3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9. Проверить количество полученных патронов и осмотреть каждый патрон.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lastRenderedPageBreak/>
        <w:t>10. Осмотреть пулю, гильзу и капсюль. На поверхности патрона не должно быть механических повреждений, препятствующих досылке в патронник, коррозии (особенно на стыке пули с гильзой и капсюле).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11. Патроны, у которых обнаружено выпадение пули или ее шевеление в гильзе, имеются вмятины, забоины на пуле и гильзе, поражены коррозией фланец гильзы, капсюль или кольцевая канавка под выбрасыватель, сдаются на пункт боевого питания.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12. Запрещается использовать патроны с трещинами на дульце, корпусе или фланце гильз, так как при заряжании возможен случайный выстрел.</w:t>
      </w:r>
    </w:p>
    <w:p w:rsidR="00BA5896" w:rsidRDefault="00BA5896" w:rsidP="00BA5896">
      <w:pPr>
        <w:pStyle w:val="a3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BA5896" w:rsidRDefault="00BA5896" w:rsidP="00BA5896">
      <w:pPr>
        <w:pStyle w:val="s3"/>
        <w:shd w:val="clear" w:color="auto" w:fill="FFFFFF"/>
        <w:spacing w:before="0" w:beforeAutospacing="0" w:after="300" w:afterAutospacing="0"/>
        <w:jc w:val="center"/>
        <w:rPr>
          <w:b/>
          <w:bCs/>
          <w:color w:val="22272F"/>
          <w:sz w:val="30"/>
          <w:szCs w:val="30"/>
        </w:rPr>
      </w:pPr>
      <w:r>
        <w:rPr>
          <w:b/>
          <w:bCs/>
          <w:color w:val="22272F"/>
          <w:sz w:val="30"/>
          <w:szCs w:val="30"/>
        </w:rPr>
        <w:t>IV. Меры безопасности при проведении стрельб</w:t>
      </w:r>
    </w:p>
    <w:p w:rsidR="00BA5896" w:rsidRDefault="00BA5896" w:rsidP="00BA5896">
      <w:pPr>
        <w:pStyle w:val="a3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13. Перед началом стрельбы руководитель стрельбы организует осмотр территории стрельбища (тира). С территории стрельбища необходимо удалить людей, животных и транспорт.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14. Границы стрельбища открытого типа обозначаются на местности указателями "Стой, стреляют", "Проход и проезд запрещены", которые устанавливаются в пределах видимости, а также в местах пересечения троп и дорог, ведущих на территорию стрельбища.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15. Разрешение на открытие огня руководитель стрельбы дает после выставления оцепления на посты, а руководитель стрельбы на участке - после общей команды руководителя стрельбы "Огонь". Стрельба прекращается по команде "Стой, прекратить стрельбу" или "Отбой".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16. При практическом выполнении упражнений стрельб с использованием различного хвата руками удержание оружия должно быть таким, чтобы движение затвора назад не травмировало руки сотрудника.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17. На занятиях по огневой подготовке при проведении стрельб автомат (пистолет-пулемет) должен находиться в положении "на ремень" с разложенным (откинутым) прикладом.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18. Категорически запрещается: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оставлять оружие и патроны без присмотра;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выполнять упражнения стрельб из неисправного или не приведенного к нормальному бою оружия;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при подготовке к выполнению упражнения и в процессе выполнения стрельбы в защитных очках, наушниках, средствах защиты надевать, поправлять и снимать их с оружием и патронами в руках;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применять патроны, имеющие наружные повреждения, не соответствующие калибру и маркировке для видов оружия;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lastRenderedPageBreak/>
        <w:t>нарушать конструктивную целостность патронов, а также устранять возникшие в них неисправности.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19. Ведение огня немедленно прекращается всеми сотрудниками самостоятельно в следующих случаях: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появление людей, транспортных средств и животных на мишенном поле, низко летящих летательных аппаратов над районом стрельб;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неисправность оружия;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неисправность мишенного оборудования;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поднятие белого флага (фонаря);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возникновение возгорания, задымления на мишенном поле;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возникновение тумана над районом стрельб или других погодных условий, мешающих наблюдать мишенную обстановку или район проведения стрельб;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потеря ориентации сотрудником;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поступление от оцепления сигнала об опасности продолжения стрельбы.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20. Запрещается без команды руководителя стрельбы (руководителя стрельбы на участке):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извлекать пистолет из кобуры, а для автомата (пистолета-пулемета) менять положение "на ремень";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снаряжать магазин патронами;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заряжать оружие;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открывать огонь;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передавать оружие и патроны другим сотрудникам.</w:t>
      </w:r>
    </w:p>
    <w:p w:rsidR="00BA5896" w:rsidRDefault="00BA5896" w:rsidP="00BA5896">
      <w:pPr>
        <w:rPr>
          <w:b/>
        </w:rPr>
      </w:pPr>
      <w:r w:rsidRPr="00BA5896">
        <w:rPr>
          <w:b/>
        </w:rPr>
        <w:t>КОНСПЕКТ!</w:t>
      </w:r>
    </w:p>
    <w:p w:rsidR="00BA5896" w:rsidRDefault="00BA5896" w:rsidP="00BA5896">
      <w:pPr>
        <w:rPr>
          <w:b/>
        </w:rPr>
      </w:pP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 российской классификации стрелковое оружие определяется, как «ствольное оружие калибром менее 20 мм, предназначенное для метания </w:t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пули,дроби</w:t>
      </w:r>
      <w:proofErr w:type="spellEnd"/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или картечи» (ГОСТ 28653—90). Таким образом, под стрелковое оружие также попадают крупнокалиберные пулемёты (калибр до 16 мм). Отдельно к стрелковому оружию относят стрелково-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гранотомётные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комплексы.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  ООН использует термин «стрелковое оружие» совместно с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термином  </w:t>
      </w:r>
      <w:r>
        <w:rPr>
          <w:rFonts w:ascii="Arial" w:hAnsi="Arial" w:cs="Arial"/>
          <w:i/>
          <w:iCs/>
          <w:color w:val="000000"/>
          <w:sz w:val="21"/>
          <w:szCs w:val="21"/>
        </w:rPr>
        <w:t>«</w:t>
      </w:r>
      <w:proofErr w:type="gramEnd"/>
      <w:r>
        <w:rPr>
          <w:rFonts w:ascii="Arial" w:hAnsi="Arial" w:cs="Arial"/>
          <w:i/>
          <w:iCs/>
          <w:color w:val="000000"/>
          <w:sz w:val="21"/>
          <w:szCs w:val="21"/>
        </w:rPr>
        <w:t>лёгкие вооружения»</w:t>
      </w:r>
      <w:r>
        <w:rPr>
          <w:rFonts w:ascii="Arial" w:hAnsi="Arial" w:cs="Arial"/>
          <w:color w:val="000000"/>
          <w:sz w:val="21"/>
          <w:szCs w:val="21"/>
        </w:rPr>
        <w:t xml:space="preserve"> . Так, в резолюции A/52/298 Генеральной Ассамблеи ООН эти два понятия описываются, как «оружие, используемое вооружёнными силами, включая силы внутренней безопасности, в частности — для самозащиты или самообороны». К лёгким вооружениям ООН относит станковые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пулеметы,,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ручные подствольные 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станковыегранатомёты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ПЗРК, миномёты калибра не более 100 мм и другие виды оружия.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Мировыми лидерами по производству стрелкового оружия являются такие концерны, как 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Browning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Arms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Company,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Remington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Colt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Sturm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 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Heckler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&amp; </w:t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Koch,Walter</w:t>
      </w:r>
      <w:proofErr w:type="gramEnd"/>
      <w:r>
        <w:rPr>
          <w:rFonts w:ascii="Arial" w:hAnsi="Arial" w:cs="Arial"/>
          <w:color w:val="000000"/>
          <w:sz w:val="21"/>
          <w:szCs w:val="21"/>
        </w:rPr>
        <w:t>,FN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Herstal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Btretta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Калашников.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Для поражения противника применяются различные огневые средства, но самым массовым из них остаётся стрелковое оружие.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Совокупность боевых средств (вооружения и военной техники), которыми оснащены вооружённые силы, образуют систему вооружения. В современных военных конфликтах активно участвует не только армия, но и вооружённые подразделения правоохранительных органов, большую роль играют части и подразделения специального назначения различных силовых структур государства. 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Стрелковое 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оружие</w:t>
      </w:r>
      <w:r>
        <w:rPr>
          <w:rFonts w:ascii="Arial" w:hAnsi="Arial" w:cs="Arial"/>
          <w:color w:val="000000"/>
          <w:sz w:val="21"/>
          <w:szCs w:val="21"/>
        </w:rPr>
        <w:t> ,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состоящее на их вооружении и предназначенное для решения боевых и оперативно-служебных задач, относят к боевому.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Всё многообразие современного стрелкового оружия по боевым возможностям классифицируется на: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пистолеты;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пистолеты-пулемёты;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автоматы;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винтовки;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пулемёты;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стрелково-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гранатомётные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комплексы.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Сегодня в мире выпускается несколько тысяч наименований стрелкового оружия.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Пистолеты. </w:t>
      </w:r>
      <w:r>
        <w:rPr>
          <w:rFonts w:ascii="Arial" w:hAnsi="Arial" w:cs="Arial"/>
          <w:color w:val="000000"/>
          <w:sz w:val="21"/>
          <w:szCs w:val="21"/>
        </w:rPr>
        <w:t> Этот вид оружия имеет ярко выраженные отличия от других образцов как по огневым, так и по маневренным возможностям. Пистолеты используются при стрельбе на коротких дистанциях — до 50 м (в штурмовых образцах — до 100 м); имеют малую массу, как правило менее 1 кг, небольшие размеры, позволяющие носить оружие постоянно при себе и быстро открывать огонь из различных положений.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Наиболее распространены пистолеты калибра 7 - 9 мм, встречаются и крупнокалиберные пистолеты (более 11 мм). Для целей самообороны и решения специальных задач, как правило, используют «карманные» пистолеты калибра 5 - 6,5 мм. Существуют виды пистолетов, называемые штурмовыми, с удлинёнными стволами и приставными или откидными прикладами. При их использовании обеспечивается поражение целей на дальностях до100 м одиночным огнём или очередями.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истолеты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-пулемёты (ПП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 .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Это автоматическое оружие, рассчитанное на стрельбу пистолетными патронами. Маломощный патрон позволяет придать оружию сравнительно небольшие размеры и массу, удобство в обращении и высокую подвижность, но при этом ограничивает прицельную дальность, как правило, до 150 м. Стрельба ведётся обычно очередями, с рук или с прижатием приклада к плечу.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ПП-91 «Кедр»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ППП-19 «Бизон»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ПП «</w:t>
      </w:r>
      <w:proofErr w:type="spellStart"/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Узи</w:t>
      </w:r>
      <w:proofErr w:type="spellEnd"/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» (Израиль)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Винто́вка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 - нарезное стрелковое оружие, конструктивно предназначенное для удержания и управления при стрельбе двумя руками с упором приклада в плечо. Основной причиной появления винтовок послужила необходимость увеличения кучности боя гладкоствольных ружей.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ВСС «Винторез»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СВД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Винтовка Мосина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Автоматы.</w:t>
      </w:r>
      <w:r>
        <w:rPr>
          <w:rFonts w:ascii="Arial" w:hAnsi="Arial" w:cs="Arial"/>
          <w:color w:val="000000"/>
          <w:sz w:val="21"/>
          <w:szCs w:val="21"/>
        </w:rPr>
        <w:t>  Этот вид оружия обеспечивает надёжное поражение цели одиночным огнём и очередями на дальностях до 500 м. Автоматы имеют небольшую массу (3,5-4,5 кг), малые габариты, удобны для действий в различных условиях, достаточно надёжны. В боекомплект к ним входят патроны как с обыкновенной пулей со стальным сердечником, так и трассирующие и другие специальные пули. Для стрельбы ночью используют ночные прицелы. Пули современных автоматов способны пробивать тонкие стальные пластины на дальностях до 800 м, тканевые бронежилеты — на дальностях до 500 м.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ПУЛЕМЁТ</w:t>
      </w:r>
      <w:r>
        <w:rPr>
          <w:rFonts w:ascii="Arial" w:hAnsi="Arial" w:cs="Arial"/>
          <w:color w:val="000000"/>
          <w:sz w:val="21"/>
          <w:szCs w:val="21"/>
        </w:rPr>
        <w:t> ,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 автоматическое стрелковое оружие, предназначенное для поражения живой силы и легкобронированной техники противника. Превосходит по боевым возможностям др. виды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стрелк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оружия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( в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т. ч. по дальности и интенсивности стрельбы благодаря более длинному и массивному стволу и значит. ёмкости питающего устройства). Питание патронами производится из ленты или магазина. Стрельба может вестись короткими и длинными очередями, непрерывно, а у некоторых П. – ещё и одиночным огнём или очередью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фиксиров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 длины. П. подразделяются: по калибру – на малокалиберные (до 6,5 мм), ср. калибра (6,5–9,0 мм) и крупнокалиберные (9,0–15,5 мм);</w:t>
      </w:r>
    </w:p>
    <w:p w:rsidR="00BA5896" w:rsidRDefault="00BA5896" w:rsidP="00BA5896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втомат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 Калашникова АК-12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 является индивидуальным оружием и предназначен для уничтожения живой силы и поражения огневых средств противника. Для поражения противника в рукопашном бою к автомату может присоединяться штык-нож. Для стрельбы и наблюдения к автомату могут присоединяться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коллиматорные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оптические, ночные,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дневно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-ночные стрелковые прицелы и лазерные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целеуказатели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 т.д. Для малошумной стрельбы на автомат может устанавливаться прибор малошумной стрельбы для 5,45 мм АК-12 (далее ПМС), индекс 6Ч60. Для стрельбы холостыми патронами на автомат устанавливается втулка (насадка) для холостой стрельбы для 5,45 мм АК-12 (далее насадка), индекс 6Ч58. В комплексе с автоматом возможно использование подствольных гранатометов ГП-25 и ГП-34, предназначенных для поражения живой силы противника, открыто расположенной на местности, находящейся в открытых окопах, траншеях и на обратных скатах местности. Для переноски и удержания автомата, к нему присоединяется ремень 6Ш124. При стрельбе из автомата применяются 5,45 мм патроны: с обыкновенной пулей 7Н6, с пулей повышенной пробиваемости 7Н10, с трассирующей пулей 7Т3 и 7Т3М и холостые патроны 7Х3 и 7Х3М (с установленной насадкой).</w:t>
      </w:r>
    </w:p>
    <w:p w:rsidR="00BA5896" w:rsidRDefault="00BA5896" w:rsidP="00BA5896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BA5896" w:rsidRDefault="00BA5896" w:rsidP="00BA5896">
      <w:pPr>
        <w:rPr>
          <w:rFonts w:ascii="Arial" w:hAnsi="Arial" w:cs="Arial"/>
          <w:b/>
          <w:color w:val="000000"/>
          <w:sz w:val="21"/>
          <w:szCs w:val="21"/>
          <w:shd w:val="clear" w:color="auto" w:fill="FFFFFF"/>
        </w:rPr>
      </w:pPr>
      <w:r w:rsidRPr="00BA5896">
        <w:rPr>
          <w:rFonts w:ascii="Arial" w:hAnsi="Arial" w:cs="Arial"/>
          <w:b/>
          <w:color w:val="000000"/>
          <w:sz w:val="21"/>
          <w:szCs w:val="21"/>
          <w:shd w:val="clear" w:color="auto" w:fill="FFFFFF"/>
        </w:rPr>
        <w:t>КОНСПЕКТ!</w:t>
      </w:r>
    </w:p>
    <w:p w:rsidR="00BA5896" w:rsidRDefault="00BA5896" w:rsidP="00BA5896">
      <w:pPr>
        <w:rPr>
          <w:rFonts w:ascii="Arial" w:hAnsi="Arial" w:cs="Arial"/>
          <w:b/>
          <w:color w:val="000000"/>
          <w:sz w:val="21"/>
          <w:szCs w:val="21"/>
          <w:shd w:val="clear" w:color="auto" w:fill="FFFFFF"/>
        </w:rPr>
      </w:pPr>
    </w:p>
    <w:p w:rsidR="00BA5896" w:rsidRDefault="00BA5896" w:rsidP="00BA5896">
      <w:pPr>
        <w:rPr>
          <w:rFonts w:ascii="Arial" w:hAnsi="Arial" w:cs="Arial"/>
          <w:b/>
          <w:color w:val="000000"/>
          <w:sz w:val="21"/>
          <w:szCs w:val="21"/>
          <w:shd w:val="clear" w:color="auto" w:fill="FFFFFF"/>
        </w:rPr>
      </w:pPr>
    </w:p>
    <w:p w:rsidR="00BA5896" w:rsidRPr="00BA5896" w:rsidRDefault="00BA5896" w:rsidP="00BA5896">
      <w:pPr>
        <w:rPr>
          <w:b/>
        </w:rPr>
      </w:pPr>
      <w:r w:rsidRPr="00BA5896">
        <w:rPr>
          <w:b/>
          <w:color w:val="000000"/>
          <w:shd w:val="clear" w:color="auto" w:fill="FFFFFF"/>
        </w:rPr>
        <w:t>Домашнее задание.</w:t>
      </w:r>
      <w:r>
        <w:rPr>
          <w:b/>
          <w:color w:val="000000"/>
          <w:shd w:val="clear" w:color="auto" w:fill="FFFFFF"/>
        </w:rPr>
        <w:t xml:space="preserve"> Подготовить к ответу конспект</w:t>
      </w:r>
      <w:bookmarkStart w:id="0" w:name="_GoBack"/>
      <w:bookmarkEnd w:id="0"/>
    </w:p>
    <w:sectPr w:rsidR="00BA5896" w:rsidRPr="00BA5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96"/>
    <w:rsid w:val="0004086D"/>
    <w:rsid w:val="00BA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BEEC4A"/>
  <w15:chartTrackingRefBased/>
  <w15:docId w15:val="{37F10F39-6B57-46DF-A302-5F0E02729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BA5896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rsid w:val="00BA5896"/>
    <w:pPr>
      <w:spacing w:before="100" w:beforeAutospacing="1" w:after="100" w:afterAutospacing="1"/>
    </w:pPr>
  </w:style>
  <w:style w:type="paragraph" w:customStyle="1" w:styleId="s1">
    <w:name w:val="s_1"/>
    <w:basedOn w:val="a"/>
    <w:rsid w:val="00BA589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2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8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0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9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2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5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3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3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9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9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2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5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1588</Words>
  <Characters>9056</Characters>
  <Application>Microsoft Office Word</Application>
  <DocSecurity>0</DocSecurity>
  <Lines>75</Lines>
  <Paragraphs>21</Paragraphs>
  <ScaleCrop>false</ScaleCrop>
  <Company/>
  <LinksUpToDate>false</LinksUpToDate>
  <CharactersWithSpaces>10623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2024-09-26T15:34:00Z</dcterms:created>
  <dcterms:modified xsi:type="dcterms:W3CDTF">2024-09-26T15:42:00Z</dcterms:modified>
</cp:coreProperties>
</file>